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届大学生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物理实验竞</w:t>
      </w:r>
      <w:r>
        <w:rPr>
          <w:rFonts w:hint="default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赛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评分标准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13"/>
        <w:gridCol w:w="5102"/>
        <w:gridCol w:w="817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94" w:type="pct"/>
            <w:gridSpan w:val="3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实验名称：</w:t>
            </w:r>
          </w:p>
        </w:tc>
        <w:tc>
          <w:tcPr>
            <w:tcW w:w="805" w:type="pct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一级权重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二级权重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实验设计的目的性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1、准确、简练地表述本实验的设计目的、亮点，清晰地讲解达到实验目标的操作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2、实验设计所蕴含的功能能真正达到本实验设计的目标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实验的创新性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实验设计思路、实验的功能、实验方法、实验装置等某一方面突出的创新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实验的科学性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1、实验原理准确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2、实验内容合理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3、实验装置合理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实验的可行性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1、设计的实验内容可实现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2、实验所需仪器和器材为实验室常见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3、实验操作简便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实验的直观性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实验现象明显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实验安全性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试验方案符合环保标准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能指出实验可能存在的危险，并有相应的防范措施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实验的可推广性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92" w:type="pct"/>
            <w:noWrap w:val="0"/>
            <w:vAlign w:val="center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本实验设计可以在大学物理实验教学中推广使用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ascii="楷体_GB2312" w:hAnsi="宋体" w:eastAsia="楷体_GB2312" w:cs="宋体"/>
          <w:bCs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highlight w:val="none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highlight w:val="none"/>
        </w:rPr>
        <w:t>评委评分可保留小数点后壹位。</w:t>
      </w:r>
    </w:p>
    <w:tbl>
      <w:tblPr>
        <w:tblStyle w:val="3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34"/>
        <w:gridCol w:w="5141"/>
        <w:gridCol w:w="782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黑体" w:hAnsi="Times New Roman" w:eastAsia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6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黑体" w:hAnsi="Times New Roman" w:eastAsia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kern w:val="0"/>
                <w:sz w:val="24"/>
                <w:highlight w:val="none"/>
              </w:rPr>
              <w:t>评测要求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黑体" w:hAnsi="Times New Roman" w:eastAsia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黑体" w:hAnsi="Times New Roman" w:eastAsia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kern w:val="0"/>
                <w:sz w:val="24"/>
                <w:highlight w:val="none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课堂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教学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highlight w:val="none"/>
              </w:rPr>
              <w:t>（100分）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内容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（25分）</w:t>
            </w: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选题适当，能涵盖一个完整的知识点，并能反映学科发展的新进展、新概念、新成果。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内容充实，信息量足够，并符合专业要求。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spacing w:val="-1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  <w:szCs w:val="24"/>
                <w:highlight w:val="none"/>
              </w:rPr>
              <w:t>重点突出，条理清楚，逻辑性强。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组织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效果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（50分）</w:t>
            </w: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教学过程安排合理，方法运用灵活、恰当，教学设计方案体现完整，有效解决了实际教学问题，完成设定教学目标。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启发性强，能有效调动学生思维和学习积极性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讲解完整，教学时间安排合理，课堂应变能力强。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spacing w:val="-1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图文并茂，录像及动画运用得当，</w:t>
            </w: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  <w:szCs w:val="24"/>
                <w:highlight w:val="none"/>
              </w:rPr>
              <w:t>板书设计、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教具</w:t>
            </w: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  <w:szCs w:val="24"/>
                <w:highlight w:val="none"/>
              </w:rPr>
              <w:t>与教学内容紧密联系、板书简洁、工整、美观、大小适当</w:t>
            </w:r>
            <w:r>
              <w:rPr>
                <w:rFonts w:ascii="仿宋_GB2312" w:hAnsi="Times New Roman" w:eastAsia="仿宋_GB2312"/>
                <w:spacing w:val="-16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/>
                <w:spacing w:val="-16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语言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教态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（15分）</w:t>
            </w: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普通话讲课，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  <w:t>教学语言规范、清晰，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流畅、准确、生动，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  <w:t>富有感染力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教态仪表自然得体，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  <w:t>能展现良好的教学风貌和个人魅力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，肢体语言运用合理、恰当，教态自然大方。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93" w:beforeLines="30" w:after="93" w:afterLines="30"/>
              <w:jc w:val="left"/>
              <w:rPr>
                <w:rFonts w:ascii="仿宋_GB2312" w:hAnsi="Times New Roman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特色</w:t>
            </w:r>
          </w:p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spacing w:val="-1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教学过程深入浅出，理论与实践密切结合，形象生动，趣味性强。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评委签名</w:t>
            </w:r>
          </w:p>
        </w:tc>
        <w:tc>
          <w:tcPr>
            <w:tcW w:w="5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合计得分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highlight w:val="none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highlight w:val="none"/>
        </w:rPr>
        <w:t>评委评分可保留小数点后壹位。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644F"/>
    <w:rsid w:val="16CC59BC"/>
    <w:rsid w:val="511A1CF1"/>
    <w:rsid w:val="54120217"/>
    <w:rsid w:val="715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2022-03-29T06:17:00Z</dcterms:created>
  <dc:creator>妍</dc:creator>
  <cp:lastModifiedBy>妍</cp:lastModifiedBy>
  <dcterms:modified xsi:type="dcterms:W3CDTF">2022-03-29T06:17:53Z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33D4F9532276420480F5ABEE4B2EA8CC</vt:lpwstr>
  </property>
</Properties>
</file>